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mc:AlternateContent>
          <mc:Choice Requires="wps">
            <w:drawing>
              <wp:anchor behindDoc="0" distT="0" distB="9525" distL="0" distR="0" simplePos="0" locked="0" layoutInCell="0" allowOverlap="1" relativeHeight="4" wp14:anchorId="67900A27">
                <wp:simplePos x="0" y="0"/>
                <wp:positionH relativeFrom="leftMargin">
                  <wp:align>left</wp:align>
                </wp:positionH>
                <wp:positionV relativeFrom="page">
                  <wp:posOffset>0</wp:posOffset>
                </wp:positionV>
                <wp:extent cx="7711440" cy="219710"/>
                <wp:effectExtent l="0" t="0" r="0" b="9525"/>
                <wp:wrapNone/>
                <wp:docPr id="1" name="ODT_ATTR_LBL_SHAPE"/>
                <a:graphic xmlns:a="http://schemas.openxmlformats.org/drawingml/2006/main">
                  <a:graphicData uri="http://schemas.microsoft.com/office/word/2010/wordprocessingShape">
                    <wps:wsp>
                      <wps:cNvSpPr/>
                      <wps:spPr>
                        <a:xfrm>
                          <a:off x="0" y="0"/>
                          <a:ext cx="7711560" cy="219600"/>
                        </a:xfrm>
                        <a:prstGeom prst="rect">
                          <a:avLst/>
                        </a:prstGeom>
                        <a:solidFill>
                          <a:srgbClr val="f2f2f2"/>
                        </a:solidFill>
                        <a:ln w="9525">
                          <a:noFill/>
                        </a:ln>
                      </wps:spPr>
                      <wps:style>
                        <a:lnRef idx="0"/>
                        <a:fillRef idx="0"/>
                        <a:effectRef idx="0"/>
                        <a:fontRef idx="minor"/>
                      </wps:style>
                      <wps:txbx>
                        <w:txbxContent>
                          <w:p>
                            <w:pPr>
                              <w:pStyle w:val="Zawartoramki"/>
                              <w:spacing w:before="0" w:after="0"/>
                              <w:contextualSpacing/>
                              <w:rPr>
                                <w:color w:val="000000"/>
                              </w:rPr>
                            </w:pPr>
                            <w:r>
                              <w:rPr>
                                <w:color w:val="000000"/>
                              </w:rPr>
                            </w:r>
                          </w:p>
                        </w:txbxContent>
                      </wps:txbx>
                      <wps:bodyPr tIns="0" bIns="0" anchor="t">
                        <a:noAutofit/>
                      </wps:bodyPr>
                    </wps:wsp>
                  </a:graphicData>
                </a:graphic>
                <wp14:sizeRelH relativeFrom="page">
                  <wp14:pctWidth>100000</wp14:pctWidth>
                </wp14:sizeRelH>
              </wp:anchor>
            </w:drawing>
          </mc:Choice>
          <mc:Fallback>
            <w:pict>
              <v:rect id="shape_0" ID="ODT_ATTR_LBL_SHAPE" path="m0,0l-2147483645,0l-2147483645,-2147483646l0,-2147483646xe" fillcolor="#f2f2f2" stroked="f" o:allowincell="f" style="position:absolute;margin-left:0pt;margin-top:0pt;width:607.15pt;height:17.25pt;mso-wrap-style:none;v-text-anchor:middle;mso-position-horizontal:left;mso-position-horizontal-relative:page;mso-position-vertical-relative:page" wp14:anchorId="67900A27">
                <v:fill o:detectmouseclick="t" type="solid" color2="#0d0d0d"/>
                <v:stroke color="#3465a4" weight="9360" joinstyle="round" endcap="flat"/>
                <v:textbox>
                  <w:txbxContent>
                    <w:p>
                      <w:pPr>
                        <w:pStyle w:val="Zawartoramki"/>
                        <w:spacing w:before="0" w:after="0"/>
                        <w:contextualSpacing/>
                        <w:rPr>
                          <w:color w:val="000000"/>
                        </w:rPr>
                      </w:pPr>
                      <w:r>
                        <w:rPr>
                          <w:color w:val="000000"/>
                        </w:rPr>
                      </w:r>
                    </w:p>
                  </w:txbxContent>
                </v:textbox>
                <w10:wrap type="none"/>
              </v:rect>
            </w:pict>
          </mc:Fallback>
        </mc:AlternateContent>
      </w:r>
    </w:p>
    <w:p>
      <w:pPr>
        <w:pStyle w:val="Normal"/>
        <w:rPr>
          <w:rFonts w:cs="Arial"/>
          <w:sz w:val="20"/>
          <w:szCs w:val="20"/>
          <w:lang w:val="en-US"/>
        </w:rPr>
      </w:pPr>
      <w:r>
        <w:rPr>
          <w:rFonts w:cs="Arial"/>
          <w:sz w:val="20"/>
          <w:szCs w:val="20"/>
          <w:lang w:val="en-US"/>
        </w:rPr>
        <w:t>Appendix No. 3</w:t>
      </w:r>
    </w:p>
    <w:p>
      <w:pPr>
        <w:pStyle w:val="Normal"/>
        <w:rPr>
          <w:rFonts w:cs="Arial"/>
          <w:sz w:val="20"/>
          <w:szCs w:val="20"/>
          <w:lang w:val="en-US"/>
        </w:rPr>
      </w:pPr>
      <w:r>
        <w:rPr>
          <w:rFonts w:cs="Arial"/>
          <w:sz w:val="20"/>
          <w:szCs w:val="20"/>
          <w:lang w:val="en-US"/>
        </w:rPr>
        <w:t>to Request for Quotation No.:</w:t>
      </w:r>
      <w:bookmarkStart w:id="0" w:name="_Hlk131143689"/>
      <w:r>
        <w:rPr>
          <w:rFonts w:cs="Arial"/>
          <w:b/>
          <w:bCs/>
          <w:sz w:val="22"/>
          <w:szCs w:val="22"/>
          <w:lang w:val="en-US"/>
        </w:rPr>
        <w:t>35</w:t>
      </w:r>
      <w:r>
        <w:rPr>
          <w:rFonts w:eastAsia="Calibri" w:cs="Arial" w:eastAsiaTheme="minorHAnsi"/>
          <w:b/>
          <w:bCs/>
          <w:sz w:val="22"/>
          <w:szCs w:val="22"/>
          <w:lang w:val="en-US"/>
        </w:rPr>
        <w:t>C/FENG_1.1/2026</w:t>
      </w:r>
      <w:bookmarkEnd w:id="0"/>
    </w:p>
    <w:p>
      <w:pPr>
        <w:pStyle w:val="Normal"/>
        <w:rPr>
          <w:rFonts w:cs="Arial"/>
          <w:sz w:val="20"/>
          <w:szCs w:val="20"/>
        </w:rPr>
      </w:pPr>
      <w:r>
        <w:rPr>
          <w:rFonts w:cs="Arial"/>
          <w:sz w:val="20"/>
          <w:szCs w:val="20"/>
        </w:rPr>
        <w:t xml:space="preserve">from January </w:t>
      </w:r>
      <w:r>
        <w:rPr>
          <w:rFonts w:cs="Arial"/>
          <w:sz w:val="20"/>
          <w:szCs w:val="20"/>
        </w:rPr>
        <w:t>20</w:t>
      </w:r>
      <w:r>
        <w:rPr>
          <w:rFonts w:cs="Arial"/>
          <w:sz w:val="20"/>
          <w:szCs w:val="20"/>
        </w:rPr>
        <w:t>, 2026.</w:t>
      </w:r>
    </w:p>
    <w:p>
      <w:pPr>
        <w:pStyle w:val="Normal"/>
        <w:rPr>
          <w:rFonts w:cs="Arial"/>
          <w:sz w:val="20"/>
          <w:szCs w:val="20"/>
        </w:rPr>
      </w:pPr>
      <w:r>
        <w:rPr>
          <w:rFonts w:cs="Arial"/>
          <w:sz w:val="20"/>
          <w:szCs w:val="20"/>
        </w:rPr>
        <w:drawing>
          <wp:anchor behindDoc="0" distT="0" distB="0" distL="0" distR="0" simplePos="0" locked="0" layoutInCell="0" allowOverlap="1" relativeHeight="3">
            <wp:simplePos x="0" y="0"/>
            <wp:positionH relativeFrom="column">
              <wp:posOffset>-57785</wp:posOffset>
            </wp:positionH>
            <wp:positionV relativeFrom="paragraph">
              <wp:posOffset>168910</wp:posOffset>
            </wp:positionV>
            <wp:extent cx="2058035" cy="914400"/>
            <wp:effectExtent l="0" t="0" r="0" b="0"/>
            <wp:wrapNone/>
            <wp:docPr id="3"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
                    <pic:cNvPicPr>
                      <a:picLocks noChangeAspect="1" noChangeArrowheads="1"/>
                    </pic:cNvPicPr>
                  </pic:nvPicPr>
                  <pic:blipFill>
                    <a:blip r:embed="rId2"/>
                    <a:stretch>
                      <a:fillRect/>
                    </a:stretch>
                  </pic:blipFill>
                  <pic:spPr bwMode="auto">
                    <a:xfrm>
                      <a:off x="0" y="0"/>
                      <a:ext cx="2058035" cy="914400"/>
                    </a:xfrm>
                    <a:prstGeom prst="rect">
                      <a:avLst/>
                    </a:prstGeom>
                  </pic:spPr>
                </pic:pic>
              </a:graphicData>
            </a:graphic>
          </wp:anchor>
        </w:drawing>
      </w:r>
    </w:p>
    <w:tbl>
      <w:tblPr>
        <w:tblStyle w:val="Tabela-Siatka"/>
        <w:tblpPr w:vertAnchor="text" w:horzAnchor="text" w:tblpXSpec="right" w:leftFromText="141" w:rightFromText="141" w:tblpY="337"/>
        <w:tblW w:w="2926"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2926"/>
      </w:tblGrid>
      <w:tr>
        <w:trPr/>
        <w:tc>
          <w:tcPr>
            <w:tcW w:w="2926" w:type="dxa"/>
            <w:tcBorders>
              <w:left w:val="nil"/>
              <w:bottom w:val="nil"/>
              <w:right w:val="nil"/>
            </w:tcBorders>
          </w:tcPr>
          <w:p>
            <w:pPr>
              <w:pStyle w:val="Normal"/>
              <w:widowControl w:val="false"/>
              <w:suppressAutoHyphens w:val="true"/>
              <w:spacing w:before="0" w:after="0"/>
              <w:jc w:val="center"/>
              <w:rPr>
                <w:rFonts w:cs="Arial"/>
                <w:i/>
                <w:i/>
                <w:sz w:val="20"/>
                <w:szCs w:val="20"/>
              </w:rPr>
            </w:pPr>
            <w:r>
              <w:rPr>
                <w:rFonts w:eastAsia="Calibri" w:cs="Arial"/>
                <w:i/>
                <w:kern w:val="0"/>
                <w:sz w:val="20"/>
                <w:szCs w:val="20"/>
                <w:lang w:val="pl-PL" w:eastAsia="en-US" w:bidi="ar-SA"/>
              </w:rPr>
              <w:t>place, date</w:t>
            </w:r>
          </w:p>
        </w:tc>
      </w:tr>
    </w:tbl>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jc w:val="center"/>
        <w:rPr>
          <w:rFonts w:cs="Arial"/>
          <w:sz w:val="22"/>
          <w:szCs w:val="22"/>
        </w:rPr>
      </w:pPr>
      <w:r>
        <w:rPr>
          <w:rFonts w:cs="Arial"/>
          <w:sz w:val="22"/>
          <w:szCs w:val="22"/>
        </w:rPr>
      </w:r>
    </w:p>
    <w:p>
      <w:pPr>
        <w:pStyle w:val="Normal"/>
        <w:rPr>
          <w:rFonts w:cs="Arial"/>
          <w:i/>
          <w:i/>
          <w:sz w:val="22"/>
          <w:szCs w:val="22"/>
        </w:rPr>
      </w:pPr>
      <w:r>
        <w:rPr>
          <w:rFonts w:cs="Arial"/>
          <w:i/>
          <w:sz w:val="22"/>
          <w:szCs w:val="22"/>
        </w:rPr>
        <w:t xml:space="preserve">            </w:t>
      </w:r>
    </w:p>
    <w:p>
      <w:pPr>
        <w:pStyle w:val="Normal"/>
        <w:ind w:firstLine="708"/>
        <w:rPr>
          <w:rFonts w:cs="Arial"/>
          <w:i/>
          <w:i/>
          <w:sz w:val="22"/>
          <w:szCs w:val="22"/>
        </w:rPr>
      </w:pPr>
      <w:r>
        <w:rPr>
          <w:rFonts w:cs="Arial"/>
          <w:i/>
          <w:sz w:val="22"/>
          <w:szCs w:val="22"/>
        </w:rPr>
        <w:t>Contractor's stamp</w:t>
      </w:r>
    </w:p>
    <w:p>
      <w:pPr>
        <w:pStyle w:val="Normal"/>
        <w:jc w:val="center"/>
        <w:rPr>
          <w:rFonts w:cs="Arial"/>
          <w:sz w:val="22"/>
          <w:szCs w:val="22"/>
        </w:rPr>
      </w:pPr>
      <w:r>
        <w:rPr>
          <w:rFonts w:cs="Arial"/>
          <w:sz w:val="22"/>
          <w:szCs w:val="22"/>
        </w:rPr>
      </w:r>
    </w:p>
    <w:p>
      <w:pPr>
        <w:pStyle w:val="Normal"/>
        <w:jc w:val="center"/>
        <w:rPr>
          <w:rFonts w:eastAsia="Courier New" w:cs="Arial"/>
          <w:b/>
          <w:bCs/>
          <w:sz w:val="22"/>
          <w:szCs w:val="22"/>
        </w:rPr>
      </w:pPr>
      <w:r>
        <w:rPr>
          <w:rFonts w:eastAsia="Courier New" w:cs="Arial"/>
          <w:b/>
          <w:bCs/>
          <w:sz w:val="22"/>
          <w:szCs w:val="22"/>
        </w:rPr>
      </w:r>
    </w:p>
    <w:p>
      <w:pPr>
        <w:pStyle w:val="Normal"/>
        <w:jc w:val="center"/>
        <w:rPr>
          <w:rFonts w:eastAsia="Courier New" w:cs="Arial"/>
          <w:b/>
          <w:bCs/>
          <w:sz w:val="28"/>
          <w:szCs w:val="28"/>
        </w:rPr>
      </w:pPr>
      <w:r>
        <w:rPr>
          <w:rFonts w:eastAsia="Courier New" w:cs="Arial"/>
          <w:b/>
          <w:bCs/>
          <w:sz w:val="28"/>
          <w:szCs w:val="28"/>
        </w:rPr>
        <w:t>CONTRACTOR'S DECLARATION</w:t>
      </w:r>
    </w:p>
    <w:p>
      <w:pPr>
        <w:pStyle w:val="Normal"/>
        <w:jc w:val="center"/>
        <w:rPr>
          <w:rFonts w:eastAsia="Courier New" w:cs="Arial"/>
          <w:b/>
          <w:bCs/>
          <w:sz w:val="28"/>
          <w:szCs w:val="28"/>
        </w:rPr>
      </w:pPr>
      <w:r>
        <w:rPr>
          <w:rFonts w:eastAsia="Courier New" w:cs="Arial"/>
          <w:b/>
          <w:bCs/>
          <w:sz w:val="28"/>
          <w:szCs w:val="28"/>
        </w:rPr>
        <w:t>no capital or personal ties</w:t>
      </w:r>
    </w:p>
    <w:p>
      <w:pPr>
        <w:pStyle w:val="Normal"/>
        <w:jc w:val="center"/>
        <w:rPr>
          <w:rFonts w:cs="Arial"/>
          <w:sz w:val="22"/>
          <w:szCs w:val="22"/>
        </w:rPr>
      </w:pPr>
      <w:r>
        <w:rPr>
          <w:rFonts w:cs="Arial"/>
          <w:sz w:val="22"/>
          <w:szCs w:val="22"/>
        </w:rPr>
      </w:r>
    </w:p>
    <w:p>
      <w:pPr>
        <w:pStyle w:val="TemplateBase"/>
        <w:spacing w:lineRule="auto" w:line="276" w:before="240" w:after="120"/>
        <w:jc w:val="both"/>
        <w:rPr>
          <w:rFonts w:eastAsia="Calibri" w:eastAsiaTheme="minorHAnsi"/>
          <w:sz w:val="22"/>
          <w:szCs w:val="22"/>
        </w:rPr>
      </w:pPr>
      <w:r>
        <w:rPr>
          <w:sz w:val="22"/>
          <w:szCs w:val="22"/>
          <w:lang w:eastAsia="pl-PL"/>
        </w:rPr>
        <w:t>When submitting a bid in connection with the procurement procedure for the supply of small laboratory equipment, consumables and reagents for physicochemical tests for the development of a product based on enriched cross-linked hyaluronic acid,</w:t>
      </w:r>
      <w:bookmarkStart w:id="1" w:name="_Hlk69999256"/>
      <w:bookmarkStart w:id="2" w:name="_Hlk165029199"/>
      <w:bookmarkStart w:id="3" w:name="_Hlk131143713"/>
      <w:bookmarkStart w:id="4" w:name="_Hlk81395615"/>
      <w:bookmarkEnd w:id="1"/>
      <w:bookmarkEnd w:id="2"/>
      <w:bookmarkEnd w:id="3"/>
      <w:bookmarkEnd w:id="4"/>
      <w:r>
        <w:rPr>
          <w:sz w:val="22"/>
          <w:szCs w:val="22"/>
          <w:lang w:eastAsia="pl-PL"/>
        </w:rPr>
        <w:t xml:space="preserve"> </w:t>
      </w:r>
      <w:r>
        <w:rPr>
          <w:color w:val="000000"/>
          <w:sz w:val="22"/>
          <w:szCs w:val="22"/>
          <w:lang w:eastAsia="pl-PL"/>
        </w:rPr>
        <w:t>as part of the project co-financed by the European Funds for Modern Economy, Priority I Support for Entrepreneurs, Measure: SMART Path, Contract No.: FENG.01.01IP.021662/23</w:t>
      </w:r>
      <w:r>
        <w:rPr>
          <w:rFonts w:eastAsia="Calibri" w:eastAsiaTheme="minorHAnsi"/>
          <w:sz w:val="22"/>
          <w:szCs w:val="22"/>
        </w:rPr>
        <w:t>, I hereby declare that there are no personal or capital links between …………………………………………………………………………………, hereinafter referred to as the Contractor, and Biovico Limited Liability Company, hereinafter referred to as the Ordering Party.</w:t>
      </w:r>
    </w:p>
    <w:p>
      <w:pPr>
        <w:pStyle w:val="TemplateBase"/>
        <w:spacing w:lineRule="auto" w:line="276" w:before="240" w:after="120"/>
        <w:jc w:val="both"/>
        <w:rPr>
          <w:b/>
          <w:bCs/>
          <w:sz w:val="22"/>
          <w:szCs w:val="22"/>
        </w:rPr>
      </w:pPr>
      <w:r>
        <w:rPr>
          <w:rFonts w:eastAsia="Calibri" w:eastAsiaTheme="minorHAnsi"/>
          <w:sz w:val="22"/>
          <w:szCs w:val="22"/>
        </w:rPr>
        <w:t>Capital and/or personal connections should be understood as mutual connections between the Ordering Party and the Contractor, consisting in particular in:</w:t>
      </w:r>
    </w:p>
    <w:p>
      <w:pPr>
        <w:pStyle w:val="TemplateBase"/>
        <w:numPr>
          <w:ilvl w:val="0"/>
          <w:numId w:val="1"/>
        </w:numPr>
        <w:spacing w:lineRule="auto" w:line="240" w:before="0" w:after="0"/>
        <w:ind w:left="284" w:hanging="360"/>
        <w:rPr>
          <w:bCs/>
          <w:sz w:val="22"/>
          <w:szCs w:val="22"/>
        </w:rPr>
      </w:pPr>
      <w:r>
        <w:rPr>
          <w:bCs/>
          <w:sz w:val="22"/>
          <w:szCs w:val="22"/>
        </w:rPr>
        <w:t xml:space="preserve">participating in a company as a partner in a civil partnership or partnership,                            </w:t>
      </w:r>
    </w:p>
    <w:p>
      <w:pPr>
        <w:pStyle w:val="TemplateBase"/>
        <w:numPr>
          <w:ilvl w:val="0"/>
          <w:numId w:val="1"/>
        </w:numPr>
        <w:spacing w:lineRule="auto" w:line="240" w:before="0" w:after="0"/>
        <w:ind w:left="284" w:hanging="360"/>
        <w:rPr>
          <w:bCs/>
          <w:sz w:val="22"/>
          <w:szCs w:val="22"/>
        </w:rPr>
      </w:pPr>
      <w:r>
        <w:rPr>
          <w:bCs/>
          <w:sz w:val="22"/>
          <w:szCs w:val="22"/>
        </w:rPr>
        <w:t>owning at least 10% of shares or stocks, unless a lower threshold is provided for by law or has been determined by the Managing Authority of PO</w:t>
      </w:r>
    </w:p>
    <w:p>
      <w:pPr>
        <w:pStyle w:val="TemplateBase"/>
        <w:numPr>
          <w:ilvl w:val="0"/>
          <w:numId w:val="1"/>
        </w:numPr>
        <w:spacing w:lineRule="auto" w:line="240" w:before="0" w:after="0"/>
        <w:ind w:left="284" w:hanging="360"/>
        <w:jc w:val="both"/>
        <w:rPr>
          <w:bCs/>
          <w:sz w:val="22"/>
          <w:szCs w:val="22"/>
        </w:rPr>
      </w:pPr>
      <w:r>
        <w:rPr>
          <w:bCs/>
          <w:sz w:val="22"/>
          <w:szCs w:val="22"/>
        </w:rPr>
        <w:t>performing the function of a member of the supervisory or management body, proxy, or attorney,</w:t>
      </w:r>
    </w:p>
    <w:p>
      <w:pPr>
        <w:pStyle w:val="TemplateBase"/>
        <w:numPr>
          <w:ilvl w:val="0"/>
          <w:numId w:val="1"/>
        </w:numPr>
        <w:spacing w:lineRule="auto" w:line="240" w:before="0" w:after="0"/>
        <w:ind w:left="284" w:hanging="360"/>
        <w:jc w:val="both"/>
        <w:rPr>
          <w:bCs/>
          <w:sz w:val="22"/>
          <w:szCs w:val="22"/>
        </w:rPr>
      </w:pPr>
      <w:r>
        <w:rPr>
          <w:bCs/>
          <w:sz w:val="22"/>
          <w:szCs w:val="22"/>
        </w:rPr>
        <w:t>being in a marital relationship, a relationship of kinship or affinity in a direct line, a relationship of kinship or affinity in the collateral line up to the second degree, or being related by adoption, care or guardianship, or being in cohabitation with the Contracting Authority, its legal representative or members of the management or supervisory bodies of the contractors applying for the contract award,</w:t>
      </w:r>
    </w:p>
    <w:p>
      <w:pPr>
        <w:pStyle w:val="TemplateBase"/>
        <w:numPr>
          <w:ilvl w:val="0"/>
          <w:numId w:val="1"/>
        </w:numPr>
        <w:spacing w:lineRule="auto" w:line="240" w:before="0" w:after="0"/>
        <w:ind w:left="284" w:hanging="360"/>
        <w:jc w:val="both"/>
        <w:rPr>
          <w:bCs/>
          <w:sz w:val="22"/>
          <w:szCs w:val="22"/>
        </w:rPr>
      </w:pPr>
      <w:r>
        <w:rPr>
          <w:bCs/>
          <w:sz w:val="22"/>
          <w:szCs w:val="22"/>
        </w:rPr>
        <w:t>being in such a legal or factual relationship with the Contracting Authority that there is a justified doubt as to their impartiality or independence in connection with the contract award procedure.</w:t>
      </w:r>
    </w:p>
    <w:p>
      <w:pPr>
        <w:pStyle w:val="Normal"/>
        <w:rPr>
          <w:rFonts w:cs="Arial"/>
          <w:sz w:val="22"/>
          <w:szCs w:val="22"/>
          <w:lang w:val="en-US"/>
        </w:rPr>
      </w:pPr>
      <w:r>
        <w:rPr>
          <w:rFonts w:cs="Arial"/>
          <w:sz w:val="22"/>
          <w:szCs w:val="22"/>
          <w:lang w:val="en-US"/>
        </w:rPr>
        <w:t xml:space="preserve"> </w:t>
      </w:r>
    </w:p>
    <w:p>
      <w:pPr>
        <w:pStyle w:val="Normal"/>
        <w:rPr>
          <w:rFonts w:cs="Arial"/>
          <w:sz w:val="22"/>
          <w:szCs w:val="22"/>
          <w:lang w:val="en-US"/>
        </w:rPr>
      </w:pPr>
      <w:r>
        <w:rPr>
          <w:rFonts w:cs="Arial"/>
          <w:sz w:val="22"/>
          <w:szCs w:val="22"/>
          <w:lang w:val="en-US"/>
        </w:rPr>
      </w:r>
    </w:p>
    <w:tbl>
      <w:tblPr>
        <w:tblStyle w:val="Tabela-Siatka"/>
        <w:tblpPr w:vertAnchor="text" w:horzAnchor="margin" w:tblpXSpec="right" w:leftFromText="141" w:rightFromText="141" w:tblpY="334"/>
        <w:tblW w:w="2978"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2978"/>
      </w:tblGrid>
      <w:tr>
        <w:trPr/>
        <w:tc>
          <w:tcPr>
            <w:tcW w:w="2978" w:type="dxa"/>
            <w:tcBorders>
              <w:top w:val="nil"/>
              <w:left w:val="nil"/>
              <w:right w:val="nil"/>
            </w:tcBorders>
          </w:tcPr>
          <w:p>
            <w:pPr>
              <w:pStyle w:val="Normal"/>
              <w:widowControl w:val="false"/>
              <w:suppressAutoHyphens w:val="true"/>
              <w:spacing w:before="0" w:after="0"/>
              <w:contextualSpacing/>
              <w:jc w:val="left"/>
              <w:rPr>
                <w:rFonts w:cs="Arial"/>
                <w:sz w:val="22"/>
                <w:szCs w:val="22"/>
                <w:lang w:val="en-US"/>
              </w:rPr>
            </w:pPr>
            <w:r>
              <w:rPr>
                <w:rFonts w:cs="Arial"/>
                <w:sz w:val="22"/>
                <w:szCs w:val="22"/>
                <w:lang w:val="en-US"/>
              </w:rPr>
            </w:r>
          </w:p>
        </w:tc>
      </w:tr>
      <w:tr>
        <w:trPr/>
        <w:tc>
          <w:tcPr>
            <w:tcW w:w="2978" w:type="dxa"/>
            <w:tcBorders>
              <w:left w:val="nil"/>
              <w:bottom w:val="nil"/>
              <w:right w:val="nil"/>
            </w:tcBorders>
          </w:tcPr>
          <w:p>
            <w:pPr>
              <w:pStyle w:val="Normal"/>
              <w:widowControl w:val="false"/>
              <w:suppressAutoHyphens w:val="true"/>
              <w:spacing w:before="0" w:after="0"/>
              <w:contextualSpacing/>
              <w:jc w:val="center"/>
              <w:rPr>
                <w:rFonts w:cs="Arial"/>
                <w:i/>
                <w:i/>
                <w:sz w:val="22"/>
                <w:szCs w:val="22"/>
                <w:lang w:val="en-US"/>
              </w:rPr>
            </w:pPr>
            <w:r>
              <w:rPr>
                <w:rFonts w:eastAsia="Calibri" w:cs="Arial"/>
                <w:i/>
                <w:kern w:val="0"/>
                <w:sz w:val="22"/>
                <w:szCs w:val="22"/>
                <w:lang w:val="en-US" w:eastAsia="en-US" w:bidi="ar-SA"/>
              </w:rPr>
              <w:t>on behalf of the Contractor</w:t>
            </w:r>
          </w:p>
        </w:tc>
      </w:tr>
    </w:tbl>
    <w:p>
      <w:pPr>
        <w:pStyle w:val="Normal"/>
        <w:rPr>
          <w:rFonts w:cs="Arial"/>
          <w:sz w:val="22"/>
          <w:szCs w:val="22"/>
          <w:lang w:val="en-US"/>
        </w:rPr>
      </w:pPr>
      <w:r>
        <w:rPr/>
      </w:r>
    </w:p>
    <w:sectPr>
      <w:headerReference w:type="first" r:id="rId3"/>
      <w:footerReference w:type="default" r:id="rId4"/>
      <w:footerReference w:type="first" r:id="rId5"/>
      <w:type w:val="nextPage"/>
      <w:pgSz w:w="11906" w:h="16838"/>
      <w:pgMar w:left="1418" w:right="1418" w:gutter="0" w:header="340" w:top="1813" w:footer="976"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drawing>
        <wp:anchor behindDoc="1" distT="0" distB="0" distL="0" distR="0" simplePos="0" locked="0" layoutInCell="1" allowOverlap="1" relativeHeight="0">
          <wp:simplePos x="0" y="0"/>
          <wp:positionH relativeFrom="page">
            <wp:align>center</wp:align>
          </wp:positionH>
          <wp:positionV relativeFrom="page">
            <wp:posOffset>9973310</wp:posOffset>
          </wp:positionV>
          <wp:extent cx="7023735" cy="194310"/>
          <wp:effectExtent l="0" t="0" r="0" b="0"/>
          <wp:wrapNone/>
          <wp:docPr id="5" name="Obraz 50" descr="listownik-mono-Pomorskie-FE-UMWP-UE-EFSI-RPO2014-2020-2015-s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0" descr="listownik-mono-Pomorskie-FE-UMWP-UE-EFSI-RPO2014-2020-2015-stop"/>
                  <pic:cNvPicPr>
                    <a:picLocks noChangeAspect="1" noChangeArrowheads="1"/>
                  </pic:cNvPicPr>
                </pic:nvPicPr>
                <pic:blipFill>
                  <a:blip r:embed="rId1"/>
                  <a:stretch>
                    <a:fillRect/>
                  </a:stretch>
                </pic:blipFill>
                <pic:spPr bwMode="auto">
                  <a:xfrm>
                    <a:off x="0" y="0"/>
                    <a:ext cx="7023735" cy="194310"/>
                  </a:xfrm>
                  <a:prstGeom prst="rect">
                    <a:avLst/>
                  </a:prstGeom>
                </pic:spPr>
              </pic:pic>
            </a:graphicData>
          </a:graphic>
        </wp:anchor>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2733" w:leader="none"/>
        <w:tab w:val="center" w:pos="4513" w:leader="none"/>
      </w:tabs>
      <w:spacing w:lineRule="auto" w:line="276"/>
      <w:jc w:val="center"/>
      <w:rPr>
        <w:rFonts w:cs="Arial"/>
        <w:sz w:val="20"/>
        <w:szCs w:val="20"/>
        <w:lang w:val="en-US"/>
      </w:rPr>
    </w:pPr>
    <w:r>
      <w:rPr>
        <w:rFonts w:cs="Arial"/>
        <w:sz w:val="20"/>
        <w:szCs w:val="20"/>
      </w:rPr>
      <w:fldChar w:fldCharType="begin"/>
    </w:r>
    <w:r>
      <w:rPr>
        <w:sz w:val="20"/>
        <w:szCs w:val="20"/>
        <w:rFonts w:cs="Arial"/>
      </w:rPr>
      <w:instrText xml:space="preserve"> PAGE </w:instrText>
    </w:r>
    <w:r>
      <w:rPr>
        <w:sz w:val="20"/>
        <w:szCs w:val="20"/>
        <w:rFonts w:cs="Arial"/>
      </w:rPr>
      <w:fldChar w:fldCharType="separate"/>
    </w:r>
    <w:r>
      <w:rPr>
        <w:sz w:val="20"/>
        <w:szCs w:val="20"/>
        <w:rFonts w:cs="Arial"/>
      </w:rPr>
      <w:t>1</w:t>
    </w:r>
    <w:r>
      <w:rPr>
        <w:sz w:val="20"/>
        <w:szCs w:val="20"/>
        <w:rFonts w:cs="Arial"/>
      </w:rPr>
      <w:fldChar w:fldCharType="end"/>
    </w:r>
    <w:r>
      <w:rPr>
        <w:rFonts w:cs="Arial"/>
        <w:sz w:val="20"/>
        <w:szCs w:val="20"/>
        <w:lang w:val="en-US"/>
      </w:rPr>
      <w:t>/</w:t>
    </w:r>
    <w:r>
      <w:rPr>
        <w:rFonts w:cs="Arial"/>
        <w:sz w:val="20"/>
        <w:szCs w:val="20"/>
      </w:rPr>
      <w:fldChar w:fldCharType="begin"/>
    </w:r>
    <w:r>
      <w:rPr>
        <w:sz w:val="20"/>
        <w:szCs w:val="20"/>
        <w:rFonts w:cs="Arial"/>
      </w:rPr>
      <w:instrText xml:space="preserve"> NUMPAGES </w:instrText>
    </w:r>
    <w:r>
      <w:rPr>
        <w:sz w:val="20"/>
        <w:szCs w:val="20"/>
        <w:rFonts w:cs="Arial"/>
      </w:rPr>
      <w:fldChar w:fldCharType="separate"/>
    </w:r>
    <w:r>
      <w:rPr>
        <w:sz w:val="20"/>
        <w:szCs w:val="20"/>
        <w:rFonts w:cs="Arial"/>
      </w:rPr>
      <w:t>1</w:t>
    </w:r>
    <w:r>
      <w:rPr>
        <w:sz w:val="20"/>
        <w:szCs w:val="20"/>
        <w:rFonts w:cs="Arial"/>
      </w:rPr>
      <w:fldChar w:fldCharType="end"/>
    </w:r>
  </w:p>
  <w:p>
    <w:pPr>
      <w:pStyle w:val="Stopka"/>
      <w:jc w:val="center"/>
      <w:rPr>
        <w:rFonts w:cs="Arial"/>
        <w:sz w:val="20"/>
        <w:szCs w:val="20"/>
        <w:lang w:val="en-US"/>
      </w:rPr>
    </w:pPr>
    <w:bookmarkStart w:id="5" w:name="_Hlk158367584"/>
    <w:bookmarkStart w:id="6" w:name="_Hlk158367430"/>
    <w:r>
      <w:rPr>
        <w:rFonts w:cs="Arial"/>
        <w:sz w:val="20"/>
        <w:szCs w:val="20"/>
        <w:lang w:val="en-US"/>
      </w:rPr>
      <w:t>Priority I of the European Funds for Modern Economy 2021-2027 Programme (FENG)</w:t>
      <w:noBreakHyphen/>
    </w:r>
    <w:bookmarkEnd w:id="5"/>
    <w:bookmarkEnd w:id="6"/>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r>
  </w:p>
  <w:p>
    <w:pPr>
      <w:pStyle w:val="Gwka"/>
      <w:ind w:left="-851" w:hanging="0"/>
      <w:rPr/>
    </w:pPr>
    <w:r>
      <w:rPr/>
      <w:drawing>
        <wp:inline distT="0" distB="0" distL="0" distR="0">
          <wp:extent cx="6833870" cy="577850"/>
          <wp:effectExtent l="0" t="0" r="0" b="0"/>
          <wp:docPr id="4"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
                  <pic:cNvPicPr>
                    <a:picLocks noChangeAspect="1" noChangeArrowheads="1"/>
                  </pic:cNvPicPr>
                </pic:nvPicPr>
                <pic:blipFill>
                  <a:blip r:embed="rId1"/>
                  <a:srcRect l="3413" t="0" r="0" b="0"/>
                  <a:stretch>
                    <a:fillRect/>
                  </a:stretch>
                </pic:blipFill>
                <pic:spPr bwMode="auto">
                  <a:xfrm>
                    <a:off x="0" y="0"/>
                    <a:ext cx="6833870" cy="5778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Arial" w:hAnsi="Arial" w:eastAsia="Times New Roman" w:cs="Times New Roman"/>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Czeinternetowe">
    <w:name w:val="Hyperlink"/>
    <w:unhideWhenUsed/>
    <w:rsid w:val="002633f6"/>
    <w:rPr>
      <w:color w:val="0000FF"/>
      <w:u w:val="single"/>
    </w:rPr>
  </w:style>
  <w:style w:type="character" w:styleId="AkapitzlistZnak" w:customStyle="1">
    <w:name w:val="Akapit z listą Znak"/>
    <w:basedOn w:val="DefaultParagraphFont"/>
    <w:link w:val="ListParagraph"/>
    <w:uiPriority w:val="34"/>
    <w:qFormat/>
    <w:rsid w:val="00f66199"/>
    <w:rPr>
      <w:rFonts w:ascii="Arial" w:hAnsi="Arial" w:cs="Arial"/>
      <w:sz w:val="24"/>
      <w:szCs w:val="24"/>
      <w:lang w:val="en-US" w:eastAsia="en-US"/>
    </w:rPr>
  </w:style>
  <w:style w:type="character" w:styleId="TekstpodstawowyZnak" w:customStyle="1">
    <w:name w:val="Tekst podstawowy Znak"/>
    <w:basedOn w:val="DefaultParagraphFont"/>
    <w:qFormat/>
    <w:rsid w:val="00510d54"/>
    <w:rPr>
      <w:sz w:val="24"/>
      <w:szCs w:val="24"/>
      <w:lang w:val="fr-BE" w:eastAsia="en-US"/>
    </w:rPr>
  </w:style>
  <w:style w:type="character" w:styleId="StopkaZnak" w:customStyle="1">
    <w:name w:val="Stopka Znak"/>
    <w:basedOn w:val="DefaultParagraphFont"/>
    <w:uiPriority w:val="99"/>
    <w:qFormat/>
    <w:rsid w:val="00156532"/>
    <w:rPr>
      <w:rFonts w:ascii="Arial" w:hAnsi="Arial"/>
      <w:sz w:val="24"/>
      <w:szCs w:val="24"/>
    </w:rPr>
  </w:style>
  <w:style w:type="character" w:styleId="Annotationreference">
    <w:name w:val="annotation reference"/>
    <w:basedOn w:val="DefaultParagraphFont"/>
    <w:uiPriority w:val="99"/>
    <w:semiHidden/>
    <w:unhideWhenUsed/>
    <w:qFormat/>
    <w:rsid w:val="004a45ba"/>
    <w:rPr>
      <w:sz w:val="16"/>
      <w:szCs w:val="16"/>
    </w:rPr>
  </w:style>
  <w:style w:type="character" w:styleId="TekstkomentarzaZnak" w:customStyle="1">
    <w:name w:val="Tekst komentarza Znak"/>
    <w:basedOn w:val="DefaultParagraphFont"/>
    <w:link w:val="Annotationtext"/>
    <w:uiPriority w:val="99"/>
    <w:qFormat/>
    <w:rsid w:val="004a45ba"/>
    <w:rPr>
      <w:rFonts w:ascii="Arial" w:hAnsi="Arial"/>
    </w:rPr>
  </w:style>
  <w:style w:type="character" w:styleId="TematkomentarzaZnak" w:customStyle="1">
    <w:name w:val="Temat komentarza Znak"/>
    <w:basedOn w:val="TekstkomentarzaZnak"/>
    <w:link w:val="Annotationsubject"/>
    <w:semiHidden/>
    <w:qFormat/>
    <w:rsid w:val="004a45ba"/>
    <w:rPr>
      <w:rFonts w:ascii="Arial" w:hAnsi="Arial"/>
      <w:b/>
      <w:bCs/>
    </w:rPr>
  </w:style>
  <w:style w:type="character" w:styleId="Strong">
    <w:name w:val="Strong"/>
    <w:basedOn w:val="DefaultParagraphFont"/>
    <w:qFormat/>
    <w:rsid w:val="0012514d"/>
    <w:rPr>
      <w:b/>
      <w:bC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510d54"/>
    <w:pPr>
      <w:tabs>
        <w:tab w:val="clear" w:pos="708"/>
        <w:tab w:val="right" w:pos="8931" w:leader="dot"/>
      </w:tabs>
      <w:ind w:right="-45" w:hanging="0"/>
      <w:jc w:val="both"/>
    </w:pPr>
    <w:rPr>
      <w:rFonts w:ascii="Times New Roman" w:hAnsi="Times New Roman"/>
      <w:lang w:val="fr-BE" w:eastAsia="en-US"/>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rsid w:val="00b16e8f"/>
    <w:pPr>
      <w:tabs>
        <w:tab w:val="clear" w:pos="708"/>
        <w:tab w:val="center" w:pos="4536" w:leader="none"/>
        <w:tab w:val="right" w:pos="9072" w:leader="none"/>
      </w:tabs>
    </w:pPr>
    <w:rPr/>
  </w:style>
  <w:style w:type="paragraph" w:styleId="Caption">
    <w:name w:val="caption"/>
    <w:basedOn w:val="Normal"/>
    <w:qFormat/>
    <w:pPr>
      <w:suppressLineNumbers/>
      <w:spacing w:before="120" w:after="120"/>
    </w:pPr>
    <w:rPr>
      <w:rFonts w:cs="Arial"/>
      <w:i/>
      <w:iCs/>
    </w:rPr>
  </w:style>
  <w:style w:type="paragraph" w:styleId="Stopka">
    <w:name w:val="Footer"/>
    <w:basedOn w:val="Normal"/>
    <w:link w:val="StopkaZnak"/>
    <w:uiPriority w:val="99"/>
    <w:rsid w:val="00b16e8f"/>
    <w:pPr>
      <w:tabs>
        <w:tab w:val="clear" w:pos="708"/>
        <w:tab w:val="center" w:pos="4536" w:leader="none"/>
        <w:tab w:val="right" w:pos="9072" w:leader="none"/>
      </w:tabs>
    </w:pPr>
    <w:rPr/>
  </w:style>
  <w:style w:type="paragraph" w:styleId="TemplateBase" w:customStyle="1">
    <w:name w:val="(Template_Base)"/>
    <w:qFormat/>
    <w:rsid w:val="002633f6"/>
    <w:pPr>
      <w:widowControl/>
      <w:suppressAutoHyphens w:val="true"/>
      <w:bidi w:val="0"/>
      <w:spacing w:lineRule="auto" w:line="360" w:before="0" w:after="240"/>
      <w:jc w:val="left"/>
    </w:pPr>
    <w:rPr>
      <w:rFonts w:ascii="Arial" w:hAnsi="Arial" w:eastAsia="Times New Roman" w:cs="Arial"/>
      <w:color w:val="auto"/>
      <w:kern w:val="0"/>
      <w:sz w:val="24"/>
      <w:szCs w:val="24"/>
      <w:lang w:val="en-US" w:eastAsia="en-US" w:bidi="ar-SA"/>
    </w:rPr>
  </w:style>
  <w:style w:type="paragraph" w:styleId="ListParagraph">
    <w:name w:val="List Paragraph"/>
    <w:basedOn w:val="Normal"/>
    <w:link w:val="AkapitzlistZnak"/>
    <w:uiPriority w:val="34"/>
    <w:qFormat/>
    <w:rsid w:val="00f66199"/>
    <w:pPr>
      <w:spacing w:lineRule="auto" w:line="360" w:before="0" w:after="240"/>
      <w:ind w:left="720" w:hanging="0"/>
      <w:contextualSpacing/>
    </w:pPr>
    <w:rPr>
      <w:rFonts w:cs="Arial"/>
      <w:lang w:val="en-US" w:eastAsia="en-US"/>
    </w:rPr>
  </w:style>
  <w:style w:type="paragraph" w:styleId="Annotationtext">
    <w:name w:val="annotation text"/>
    <w:basedOn w:val="Normal"/>
    <w:link w:val="TekstkomentarzaZnak"/>
    <w:uiPriority w:val="99"/>
    <w:unhideWhenUsed/>
    <w:qFormat/>
    <w:rsid w:val="004a45ba"/>
    <w:pPr/>
    <w:rPr>
      <w:sz w:val="20"/>
      <w:szCs w:val="20"/>
    </w:rPr>
  </w:style>
  <w:style w:type="paragraph" w:styleId="Annotationsubject">
    <w:name w:val="annotation subject"/>
    <w:basedOn w:val="Annotationtext"/>
    <w:next w:val="Annotationtext"/>
    <w:link w:val="TematkomentarzaZnak"/>
    <w:semiHidden/>
    <w:unhideWhenUsed/>
    <w:qFormat/>
    <w:rsid w:val="004a45ba"/>
    <w:pPr/>
    <w:rPr>
      <w:b/>
      <w:bCs/>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2633f6"/>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png"/>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A7FDA-B6ED-47E3-B74A-1471F923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LibreOffice/7.5.2.2$Windows_X86_64 LibreOffice_project/53bb9681a964705cf672590721dbc85eb4d0c3a2</Application>
  <AppVersion>15.0000</AppVersion>
  <Pages>1</Pages>
  <Words>308</Words>
  <Characters>1722</Characters>
  <CharactersWithSpaces>2049</CharactersWithSpaces>
  <Paragraphs>20</Paragraphs>
  <Company>UMWP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2026-01-16T14:50:00Z</dcterms:created>
  <dc:creator>Grzegorz Późmirowski</dc:creator>
  <dc:description/>
  <dc:language>pl-PL</dc:language>
  <cp:lastModifiedBy/>
  <cp:lastPrinted>2024-03-08T13:51:00Z</cp:lastPrinted>
  <dcterms:modified xsi:type="dcterms:W3CDTF">2026-01-20T09:12:05Z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